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560" w:lineRule="exact"/>
        <w:rPr>
          <w:rFonts w:hint="eastAsia" w:eastAsia="仿宋_GB2312"/>
          <w:color w:val="000000"/>
          <w:sz w:val="32"/>
          <w:szCs w:val="32"/>
          <w:lang w:eastAsia="zh-CN"/>
        </w:rPr>
      </w:pPr>
      <w:r>
        <w:rPr>
          <w:rFonts w:hint="eastAsia" w:eastAsia="仿宋_GB2312"/>
          <w:color w:val="000000"/>
          <w:sz w:val="32"/>
          <w:szCs w:val="32"/>
        </w:rPr>
        <w:t>附件</w:t>
      </w:r>
      <w:r>
        <w:rPr>
          <w:rFonts w:hint="eastAsia" w:eastAsia="仿宋_GB2312"/>
          <w:color w:val="000000"/>
          <w:sz w:val="32"/>
          <w:szCs w:val="32"/>
          <w:lang w:val="en-US" w:eastAsia="zh-CN"/>
        </w:rPr>
        <w:t>4</w:t>
      </w:r>
    </w:p>
    <w:p>
      <w:pPr>
        <w:spacing w:line="560" w:lineRule="exact"/>
        <w:jc w:val="center"/>
        <w:rPr>
          <w:rFonts w:ascii="华文中宋" w:hAnsi="华文中宋" w:eastAsia="华文中宋"/>
          <w:b/>
          <w:sz w:val="44"/>
          <w:szCs w:val="36"/>
        </w:rPr>
      </w:pPr>
      <w:r>
        <w:rPr>
          <w:rFonts w:eastAsia="华文楷体"/>
          <w:b/>
          <w:sz w:val="44"/>
          <w:szCs w:val="36"/>
        </w:rPr>
        <w:t>2019</w:t>
      </w:r>
      <w:r>
        <w:rPr>
          <w:rFonts w:hint="eastAsia" w:ascii="华文中宋" w:hAnsi="华文中宋" w:eastAsia="华文中宋"/>
          <w:b/>
          <w:sz w:val="44"/>
          <w:szCs w:val="36"/>
        </w:rPr>
        <w:t xml:space="preserve"> 年全国中医药研究生</w:t>
      </w:r>
      <w:bookmarkStart w:id="0" w:name="_GoBack"/>
      <w:bookmarkEnd w:id="0"/>
      <w:r>
        <w:rPr>
          <w:rFonts w:hint="eastAsia" w:ascii="华文中宋" w:hAnsi="华文中宋" w:eastAsia="华文中宋"/>
          <w:b/>
          <w:sz w:val="44"/>
          <w:szCs w:val="36"/>
        </w:rPr>
        <w:t>教育研究课题</w:t>
      </w:r>
    </w:p>
    <w:p>
      <w:pPr>
        <w:spacing w:line="560" w:lineRule="exact"/>
        <w:jc w:val="center"/>
        <w:rPr>
          <w:rFonts w:ascii="华文中宋" w:hAnsi="华文中宋" w:eastAsia="华文中宋"/>
          <w:b/>
          <w:sz w:val="44"/>
          <w:szCs w:val="36"/>
        </w:rPr>
      </w:pPr>
      <w:r>
        <w:rPr>
          <w:rFonts w:hint="eastAsia" w:ascii="华文中宋" w:hAnsi="华文中宋" w:eastAsia="华文中宋"/>
          <w:b/>
          <w:sz w:val="44"/>
          <w:szCs w:val="36"/>
        </w:rPr>
        <w:t>选题指南</w:t>
      </w:r>
    </w:p>
    <w:p>
      <w:pPr>
        <w:spacing w:before="240" w:line="560" w:lineRule="exact"/>
        <w:ind w:firstLine="640" w:firstLineChars="200"/>
        <w:rPr>
          <w:rFonts w:ascii="仿宋_GB2312" w:eastAsia="仿宋_GB2312"/>
          <w:sz w:val="32"/>
          <w:szCs w:val="32"/>
        </w:rPr>
      </w:pPr>
      <w:r>
        <w:rPr>
          <w:rFonts w:hint="eastAsia" w:ascii="仿宋_GB2312" w:eastAsia="仿宋_GB2312"/>
          <w:sz w:val="32"/>
          <w:szCs w:val="32"/>
        </w:rPr>
        <w:t>2019 年全国中医药研究生教育研究课题拟立项重点课题10项，一般课题40项。重点课题聚焦于当前中医药高等教育发展的战略问题及关键问题，一般课题主要解决中医药研究生教育中的具体问题。</w:t>
      </w:r>
    </w:p>
    <w:p>
      <w:pPr>
        <w:spacing w:before="240" w:line="560" w:lineRule="exact"/>
        <w:rPr>
          <w:rFonts w:ascii="仿宋_GB2312" w:eastAsia="仿宋_GB2312"/>
          <w:b/>
          <w:bCs/>
          <w:sz w:val="32"/>
          <w:szCs w:val="32"/>
        </w:rPr>
      </w:pPr>
      <w:r>
        <w:rPr>
          <w:rFonts w:hint="eastAsia" w:ascii="仿宋_GB2312" w:eastAsia="仿宋_GB2312"/>
          <w:b/>
          <w:bCs/>
          <w:sz w:val="32"/>
          <w:szCs w:val="32"/>
        </w:rPr>
        <w:t>一、重点</w:t>
      </w:r>
      <w:r>
        <w:rPr>
          <w:rFonts w:ascii="仿宋_GB2312" w:eastAsia="仿宋_GB2312"/>
          <w:b/>
          <w:bCs/>
          <w:sz w:val="32"/>
          <w:szCs w:val="32"/>
        </w:rPr>
        <w:t>课题</w:t>
      </w:r>
    </w:p>
    <w:p>
      <w:pPr>
        <w:spacing w:line="560" w:lineRule="exact"/>
        <w:ind w:firstLine="640" w:firstLineChars="200"/>
        <w:rPr>
          <w:rFonts w:ascii="仿宋_GB2312" w:eastAsia="仿宋_GB2312"/>
          <w:sz w:val="28"/>
          <w:szCs w:val="32"/>
        </w:rPr>
      </w:pPr>
      <w:r>
        <w:rPr>
          <w:rFonts w:hint="eastAsia" w:ascii="仿宋_GB2312" w:eastAsia="仿宋_GB2312"/>
          <w:sz w:val="32"/>
          <w:szCs w:val="32"/>
        </w:rPr>
        <w:t>重点课题选题要坚持正确政治导向，具有明确的研究目标、鲜明的问题意识、厚重的学术分量和较强的创新价值，体现有限规模和突出重点的原则，主要围绕我国当前中医药研究生高等教育发展的战略问题及关键问题</w:t>
      </w:r>
      <w:r>
        <w:rPr>
          <w:rFonts w:hint="eastAsia" w:ascii="仿宋_GB2312" w:hAnsi="宋体" w:eastAsia="仿宋_GB2312" w:cs="宋体"/>
          <w:kern w:val="0"/>
          <w:sz w:val="32"/>
          <w:szCs w:val="32"/>
        </w:rPr>
        <w:t>等开展研究，</w:t>
      </w:r>
      <w:r>
        <w:rPr>
          <w:rFonts w:hint="eastAsia" w:ascii="仿宋_GB2312" w:eastAsia="仿宋_GB2312"/>
          <w:sz w:val="32"/>
          <w:szCs w:val="32"/>
        </w:rPr>
        <w:t>选题文字表述要科学、严谨、规范、简洁，一般不加副标题</w:t>
      </w:r>
      <w:r>
        <w:rPr>
          <w:rFonts w:hint="eastAsia" w:ascii="仿宋_GB2312" w:eastAsia="仿宋_GB2312"/>
          <w:sz w:val="28"/>
          <w:szCs w:val="32"/>
        </w:rPr>
        <w:t>。</w:t>
      </w:r>
    </w:p>
    <w:p>
      <w:pPr>
        <w:spacing w:before="240" w:line="560" w:lineRule="exact"/>
        <w:rPr>
          <w:rFonts w:ascii="仿宋_GB2312" w:eastAsia="仿宋_GB2312"/>
          <w:b/>
          <w:bCs/>
          <w:sz w:val="32"/>
          <w:szCs w:val="32"/>
        </w:rPr>
      </w:pPr>
      <w:r>
        <w:rPr>
          <w:rFonts w:hint="eastAsia" w:ascii="仿宋_GB2312" w:eastAsia="仿宋_GB2312"/>
          <w:b/>
          <w:bCs/>
          <w:sz w:val="32"/>
          <w:szCs w:val="32"/>
        </w:rPr>
        <w:t>二、一般</w:t>
      </w:r>
      <w:r>
        <w:rPr>
          <w:rFonts w:ascii="仿宋_GB2312" w:eastAsia="仿宋_GB2312"/>
          <w:b/>
          <w:bCs/>
          <w:sz w:val="32"/>
          <w:szCs w:val="32"/>
        </w:rPr>
        <w:t>课题</w:t>
      </w:r>
    </w:p>
    <w:p>
      <w:pPr>
        <w:pStyle w:val="7"/>
        <w:spacing w:line="56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1.人才培养</w:t>
      </w:r>
      <w:r>
        <w:rPr>
          <w:rFonts w:ascii="仿宋_GB2312" w:hAnsi="宋体" w:eastAsia="仿宋_GB2312" w:cs="宋体"/>
          <w:kern w:val="0"/>
          <w:sz w:val="32"/>
          <w:szCs w:val="32"/>
        </w:rPr>
        <w:t>方案的应用</w:t>
      </w:r>
      <w:r>
        <w:rPr>
          <w:rFonts w:hint="eastAsia" w:ascii="仿宋_GB2312" w:hAnsi="宋体" w:eastAsia="仿宋_GB2312" w:cs="宋体"/>
          <w:kern w:val="0"/>
          <w:sz w:val="32"/>
          <w:szCs w:val="32"/>
        </w:rPr>
        <w:t>与实践；</w:t>
      </w:r>
    </w:p>
    <w:p>
      <w:pPr>
        <w:pStyle w:val="7"/>
        <w:spacing w:line="56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2.形成</w:t>
      </w:r>
      <w:r>
        <w:rPr>
          <w:rFonts w:ascii="仿宋_GB2312" w:hAnsi="宋体" w:eastAsia="仿宋_GB2312" w:cs="宋体"/>
          <w:kern w:val="0"/>
          <w:sz w:val="32"/>
          <w:szCs w:val="32"/>
        </w:rPr>
        <w:t>性</w:t>
      </w:r>
      <w:r>
        <w:rPr>
          <w:rFonts w:hint="eastAsia" w:ascii="仿宋_GB2312" w:hAnsi="宋体" w:eastAsia="仿宋_GB2312" w:cs="宋体"/>
          <w:kern w:val="0"/>
          <w:sz w:val="32"/>
          <w:szCs w:val="32"/>
        </w:rPr>
        <w:t>评价相关研究；</w:t>
      </w:r>
    </w:p>
    <w:p>
      <w:pPr>
        <w:pStyle w:val="7"/>
        <w:spacing w:line="56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3.已有实践</w:t>
      </w:r>
      <w:r>
        <w:rPr>
          <w:rFonts w:ascii="仿宋_GB2312" w:hAnsi="宋体" w:eastAsia="仿宋_GB2312" w:cs="宋体"/>
          <w:kern w:val="0"/>
          <w:sz w:val="32"/>
          <w:szCs w:val="32"/>
        </w:rPr>
        <w:t>基础的教学</w:t>
      </w:r>
      <w:r>
        <w:rPr>
          <w:rFonts w:hint="eastAsia" w:ascii="仿宋_GB2312" w:hAnsi="宋体" w:eastAsia="仿宋_GB2312" w:cs="宋体"/>
          <w:kern w:val="0"/>
          <w:sz w:val="32"/>
          <w:szCs w:val="32"/>
        </w:rPr>
        <w:t>方法</w:t>
      </w:r>
      <w:r>
        <w:rPr>
          <w:rFonts w:ascii="仿宋_GB2312" w:hAnsi="宋体" w:eastAsia="仿宋_GB2312" w:cs="宋体"/>
          <w:kern w:val="0"/>
          <w:sz w:val="32"/>
          <w:szCs w:val="32"/>
        </w:rPr>
        <w:t>的</w:t>
      </w:r>
      <w:r>
        <w:rPr>
          <w:rFonts w:hint="eastAsia" w:ascii="仿宋_GB2312" w:hAnsi="宋体" w:eastAsia="仿宋_GB2312" w:cs="宋体"/>
          <w:kern w:val="0"/>
          <w:sz w:val="32"/>
          <w:szCs w:val="32"/>
        </w:rPr>
        <w:t>示范与推广；</w:t>
      </w:r>
    </w:p>
    <w:p>
      <w:pPr>
        <w:pStyle w:val="7"/>
        <w:spacing w:line="56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4.基于在</w:t>
      </w:r>
      <w:r>
        <w:rPr>
          <w:rFonts w:ascii="仿宋_GB2312" w:hAnsi="宋体" w:eastAsia="仿宋_GB2312" w:cs="宋体"/>
          <w:kern w:val="0"/>
          <w:sz w:val="32"/>
          <w:szCs w:val="32"/>
        </w:rPr>
        <w:t>线课程</w:t>
      </w:r>
      <w:r>
        <w:rPr>
          <w:rFonts w:hint="eastAsia" w:ascii="仿宋_GB2312" w:hAnsi="宋体" w:eastAsia="仿宋_GB2312" w:cs="宋体"/>
          <w:kern w:val="0"/>
          <w:sz w:val="32"/>
          <w:szCs w:val="32"/>
        </w:rPr>
        <w:t>的教学</w:t>
      </w:r>
      <w:r>
        <w:rPr>
          <w:rFonts w:ascii="仿宋_GB2312" w:hAnsi="宋体" w:eastAsia="仿宋_GB2312" w:cs="宋体"/>
          <w:kern w:val="0"/>
          <w:sz w:val="32"/>
          <w:szCs w:val="32"/>
        </w:rPr>
        <w:t>模式</w:t>
      </w:r>
      <w:r>
        <w:rPr>
          <w:rFonts w:hint="eastAsia" w:ascii="仿宋_GB2312" w:hAnsi="宋体" w:eastAsia="仿宋_GB2312" w:cs="宋体"/>
          <w:kern w:val="0"/>
          <w:sz w:val="32"/>
          <w:szCs w:val="32"/>
        </w:rPr>
        <w:t>改革与</w:t>
      </w:r>
      <w:r>
        <w:rPr>
          <w:rFonts w:ascii="仿宋_GB2312" w:hAnsi="宋体" w:eastAsia="仿宋_GB2312" w:cs="宋体"/>
          <w:kern w:val="0"/>
          <w:sz w:val="32"/>
          <w:szCs w:val="32"/>
        </w:rPr>
        <w:t>应用</w:t>
      </w:r>
      <w:r>
        <w:rPr>
          <w:rFonts w:hint="eastAsia" w:ascii="仿宋_GB2312" w:hAnsi="宋体" w:eastAsia="仿宋_GB2312" w:cs="宋体"/>
          <w:kern w:val="0"/>
          <w:sz w:val="32"/>
          <w:szCs w:val="32"/>
        </w:rPr>
        <w:t>；</w:t>
      </w:r>
    </w:p>
    <w:p>
      <w:pPr>
        <w:pStyle w:val="7"/>
        <w:spacing w:line="560" w:lineRule="exact"/>
        <w:ind w:firstLine="640"/>
        <w:rPr>
          <w:rFonts w:ascii="仿宋_GB2312" w:hAnsi="宋体" w:eastAsia="仿宋_GB2312" w:cs="宋体"/>
          <w:kern w:val="0"/>
          <w:sz w:val="32"/>
          <w:szCs w:val="32"/>
        </w:rPr>
      </w:pPr>
      <w:r>
        <w:rPr>
          <w:rFonts w:ascii="仿宋_GB2312" w:hAnsi="宋体" w:eastAsia="仿宋_GB2312" w:cs="宋体"/>
          <w:kern w:val="0"/>
          <w:sz w:val="32"/>
          <w:szCs w:val="32"/>
        </w:rPr>
        <w:t>5.</w:t>
      </w:r>
      <w:r>
        <w:rPr>
          <w:rFonts w:hint="eastAsia" w:ascii="仿宋_GB2312" w:hAnsi="宋体" w:eastAsia="仿宋_GB2312" w:cs="宋体"/>
          <w:kern w:val="0"/>
          <w:sz w:val="32"/>
          <w:szCs w:val="32"/>
        </w:rPr>
        <w:t>综合性</w:t>
      </w:r>
      <w:r>
        <w:rPr>
          <w:rFonts w:ascii="仿宋_GB2312" w:hAnsi="宋体" w:eastAsia="仿宋_GB2312" w:cs="宋体"/>
          <w:kern w:val="0"/>
          <w:sz w:val="32"/>
          <w:szCs w:val="32"/>
        </w:rPr>
        <w:t>实验</w:t>
      </w:r>
      <w:r>
        <w:rPr>
          <w:rFonts w:hint="eastAsia" w:ascii="仿宋_GB2312" w:hAnsi="宋体" w:eastAsia="仿宋_GB2312" w:cs="宋体"/>
          <w:kern w:val="0"/>
          <w:sz w:val="32"/>
          <w:szCs w:val="32"/>
        </w:rPr>
        <w:t>类</w:t>
      </w:r>
      <w:r>
        <w:rPr>
          <w:rFonts w:ascii="仿宋_GB2312" w:hAnsi="宋体" w:eastAsia="仿宋_GB2312" w:cs="宋体"/>
          <w:kern w:val="0"/>
          <w:sz w:val="32"/>
          <w:szCs w:val="32"/>
        </w:rPr>
        <w:t>课程</w:t>
      </w:r>
      <w:r>
        <w:rPr>
          <w:rFonts w:hint="eastAsia" w:ascii="仿宋_GB2312" w:hAnsi="宋体" w:eastAsia="仿宋_GB2312" w:cs="宋体"/>
          <w:kern w:val="0"/>
          <w:sz w:val="32"/>
          <w:szCs w:val="32"/>
        </w:rPr>
        <w:t>改革、</w:t>
      </w:r>
      <w:r>
        <w:rPr>
          <w:rFonts w:ascii="仿宋_GB2312" w:hAnsi="宋体" w:eastAsia="仿宋_GB2312" w:cs="宋体"/>
          <w:kern w:val="0"/>
          <w:sz w:val="32"/>
          <w:szCs w:val="32"/>
        </w:rPr>
        <w:t>应用与推广</w:t>
      </w:r>
      <w:r>
        <w:rPr>
          <w:rFonts w:hint="eastAsia" w:ascii="仿宋_GB2312" w:hAnsi="宋体" w:eastAsia="仿宋_GB2312" w:cs="宋体"/>
          <w:kern w:val="0"/>
          <w:sz w:val="32"/>
          <w:szCs w:val="32"/>
        </w:rPr>
        <w:t>；</w:t>
      </w:r>
    </w:p>
    <w:p>
      <w:pPr>
        <w:pStyle w:val="7"/>
        <w:spacing w:line="560" w:lineRule="exact"/>
        <w:ind w:firstLine="640"/>
        <w:rPr>
          <w:rFonts w:ascii="仿宋_GB2312" w:hAnsi="宋体" w:eastAsia="仿宋_GB2312" w:cs="宋体"/>
          <w:kern w:val="0"/>
          <w:sz w:val="32"/>
          <w:szCs w:val="32"/>
        </w:rPr>
      </w:pPr>
      <w:r>
        <w:rPr>
          <w:rFonts w:ascii="仿宋_GB2312" w:hAnsi="宋体" w:eastAsia="仿宋_GB2312" w:cs="宋体"/>
          <w:kern w:val="0"/>
          <w:sz w:val="32"/>
          <w:szCs w:val="32"/>
        </w:rPr>
        <w:t>6.</w:t>
      </w:r>
      <w:r>
        <w:rPr>
          <w:rFonts w:hint="eastAsia" w:ascii="仿宋_GB2312" w:hAnsi="宋体" w:eastAsia="仿宋_GB2312" w:cs="宋体"/>
          <w:kern w:val="0"/>
          <w:sz w:val="32"/>
          <w:szCs w:val="32"/>
        </w:rPr>
        <w:t>教师</w:t>
      </w:r>
      <w:r>
        <w:rPr>
          <w:rFonts w:ascii="仿宋_GB2312" w:hAnsi="宋体" w:eastAsia="仿宋_GB2312" w:cs="宋体"/>
          <w:kern w:val="0"/>
          <w:sz w:val="32"/>
          <w:szCs w:val="32"/>
        </w:rPr>
        <w:t>教学能力</w:t>
      </w:r>
      <w:r>
        <w:rPr>
          <w:rFonts w:hint="eastAsia" w:ascii="仿宋_GB2312" w:hAnsi="宋体" w:eastAsia="仿宋_GB2312" w:cs="宋体"/>
          <w:kern w:val="0"/>
          <w:sz w:val="32"/>
          <w:szCs w:val="32"/>
        </w:rPr>
        <w:t>提升综合评价</w:t>
      </w:r>
      <w:r>
        <w:rPr>
          <w:rFonts w:ascii="仿宋_GB2312" w:hAnsi="宋体" w:eastAsia="仿宋_GB2312" w:cs="宋体"/>
          <w:kern w:val="0"/>
          <w:sz w:val="32"/>
          <w:szCs w:val="32"/>
        </w:rPr>
        <w:t>体系研究</w:t>
      </w:r>
      <w:r>
        <w:rPr>
          <w:rFonts w:hint="eastAsia" w:ascii="仿宋_GB2312" w:hAnsi="宋体" w:eastAsia="仿宋_GB2312" w:cs="宋体"/>
          <w:kern w:val="0"/>
          <w:sz w:val="32"/>
          <w:szCs w:val="32"/>
        </w:rPr>
        <w:t>；</w:t>
      </w:r>
    </w:p>
    <w:p>
      <w:pPr>
        <w:pStyle w:val="7"/>
        <w:spacing w:line="560" w:lineRule="exact"/>
        <w:ind w:firstLine="640"/>
        <w:rPr>
          <w:rFonts w:ascii="仿宋_GB2312" w:hAnsi="宋体" w:eastAsia="仿宋_GB2312" w:cs="宋体"/>
          <w:kern w:val="0"/>
          <w:sz w:val="32"/>
          <w:szCs w:val="32"/>
        </w:rPr>
      </w:pPr>
      <w:r>
        <w:rPr>
          <w:rFonts w:ascii="仿宋_GB2312" w:hAnsi="宋体" w:eastAsia="仿宋_GB2312" w:cs="宋体"/>
          <w:kern w:val="0"/>
          <w:sz w:val="32"/>
          <w:szCs w:val="32"/>
        </w:rPr>
        <w:t>7.</w:t>
      </w:r>
      <w:r>
        <w:rPr>
          <w:rFonts w:hint="eastAsia" w:ascii="仿宋_GB2312" w:hAnsi="宋体" w:eastAsia="仿宋_GB2312" w:cs="宋体"/>
          <w:kern w:val="0"/>
          <w:sz w:val="32"/>
          <w:szCs w:val="32"/>
        </w:rPr>
        <w:t>院校</w:t>
      </w:r>
      <w:r>
        <w:rPr>
          <w:rFonts w:ascii="仿宋_GB2312" w:hAnsi="宋体" w:eastAsia="仿宋_GB2312" w:cs="宋体"/>
          <w:kern w:val="0"/>
          <w:sz w:val="32"/>
          <w:szCs w:val="32"/>
        </w:rPr>
        <w:t>教育模式</w:t>
      </w:r>
      <w:r>
        <w:rPr>
          <w:rFonts w:hint="eastAsia" w:ascii="仿宋_GB2312" w:hAnsi="宋体" w:eastAsia="仿宋_GB2312" w:cs="宋体"/>
          <w:kern w:val="0"/>
          <w:sz w:val="32"/>
          <w:szCs w:val="32"/>
        </w:rPr>
        <w:t>下师承教育的实践</w:t>
      </w:r>
      <w:r>
        <w:rPr>
          <w:rFonts w:ascii="仿宋_GB2312" w:hAnsi="宋体" w:eastAsia="仿宋_GB2312" w:cs="宋体"/>
          <w:kern w:val="0"/>
          <w:sz w:val="32"/>
          <w:szCs w:val="32"/>
        </w:rPr>
        <w:t>、</w:t>
      </w:r>
      <w:r>
        <w:rPr>
          <w:rFonts w:hint="eastAsia" w:ascii="仿宋_GB2312" w:hAnsi="宋体" w:eastAsia="仿宋_GB2312" w:cs="宋体"/>
          <w:kern w:val="0"/>
          <w:sz w:val="32"/>
          <w:szCs w:val="32"/>
        </w:rPr>
        <w:t>优化</w:t>
      </w:r>
      <w:r>
        <w:rPr>
          <w:rFonts w:ascii="仿宋_GB2312" w:hAnsi="宋体" w:eastAsia="仿宋_GB2312" w:cs="宋体"/>
          <w:kern w:val="0"/>
          <w:sz w:val="32"/>
          <w:szCs w:val="32"/>
        </w:rPr>
        <w:t>与改革</w:t>
      </w:r>
      <w:r>
        <w:rPr>
          <w:rFonts w:hint="eastAsia" w:ascii="仿宋_GB2312" w:hAnsi="宋体" w:eastAsia="仿宋_GB2312" w:cs="宋体"/>
          <w:kern w:val="0"/>
          <w:sz w:val="32"/>
          <w:szCs w:val="32"/>
        </w:rPr>
        <w:t>；</w:t>
      </w:r>
    </w:p>
    <w:p>
      <w:pPr>
        <w:pStyle w:val="7"/>
        <w:spacing w:line="560" w:lineRule="exact"/>
        <w:ind w:firstLine="640"/>
        <w:rPr>
          <w:rFonts w:ascii="仿宋_GB2312" w:hAnsi="宋体" w:eastAsia="仿宋_GB2312" w:cs="宋体"/>
          <w:kern w:val="0"/>
          <w:sz w:val="32"/>
          <w:szCs w:val="32"/>
        </w:rPr>
      </w:pPr>
      <w:r>
        <w:rPr>
          <w:rFonts w:ascii="仿宋_GB2312" w:hAnsi="宋体" w:eastAsia="仿宋_GB2312" w:cs="宋体"/>
          <w:kern w:val="0"/>
          <w:sz w:val="32"/>
          <w:szCs w:val="32"/>
        </w:rPr>
        <w:t>8.</w:t>
      </w:r>
      <w:r>
        <w:rPr>
          <w:rFonts w:hint="eastAsia" w:ascii="仿宋_GB2312" w:hAnsi="宋体" w:eastAsia="仿宋_GB2312" w:cs="宋体"/>
          <w:kern w:val="0"/>
          <w:sz w:val="32"/>
          <w:szCs w:val="32"/>
        </w:rPr>
        <w:t>思想政治理论课程教育教学改革；</w:t>
      </w:r>
    </w:p>
    <w:p>
      <w:pPr>
        <w:pStyle w:val="7"/>
        <w:spacing w:line="560" w:lineRule="exact"/>
        <w:ind w:firstLine="640"/>
        <w:rPr>
          <w:rFonts w:ascii="仿宋_GB2312" w:hAnsi="宋体" w:eastAsia="仿宋_GB2312" w:cs="宋体"/>
          <w:kern w:val="0"/>
          <w:sz w:val="32"/>
          <w:szCs w:val="32"/>
        </w:rPr>
      </w:pPr>
      <w:r>
        <w:rPr>
          <w:rFonts w:ascii="仿宋_GB2312" w:hAnsi="宋体" w:eastAsia="仿宋_GB2312" w:cs="宋体"/>
          <w:kern w:val="0"/>
          <w:sz w:val="32"/>
          <w:szCs w:val="32"/>
        </w:rPr>
        <w:t>9.</w:t>
      </w:r>
      <w:r>
        <w:rPr>
          <w:rFonts w:hint="eastAsia" w:ascii="仿宋_GB2312" w:hAnsi="宋体" w:eastAsia="仿宋_GB2312" w:cs="宋体"/>
          <w:kern w:val="0"/>
          <w:sz w:val="32"/>
          <w:szCs w:val="32"/>
        </w:rPr>
        <w:t>大学生创新和创业能力培养的研究与实践；</w:t>
      </w:r>
    </w:p>
    <w:p>
      <w:pPr>
        <w:pStyle w:val="7"/>
        <w:spacing w:line="560" w:lineRule="exact"/>
        <w:ind w:firstLine="640"/>
        <w:rPr>
          <w:rFonts w:hint="eastAsia" w:ascii="仿宋_GB2312" w:hAnsi="宋体" w:eastAsia="仿宋_GB2312" w:cs="宋体"/>
          <w:kern w:val="0"/>
          <w:sz w:val="32"/>
          <w:szCs w:val="32"/>
        </w:rPr>
      </w:pPr>
      <w:r>
        <w:rPr>
          <w:rFonts w:ascii="仿宋_GB2312" w:hAnsi="宋体" w:eastAsia="仿宋_GB2312" w:cs="宋体"/>
          <w:kern w:val="0"/>
          <w:sz w:val="32"/>
          <w:szCs w:val="32"/>
        </w:rPr>
        <w:t>10.思想政治教育理论与方法研究</w:t>
      </w:r>
      <w:r>
        <w:rPr>
          <w:rFonts w:hint="eastAsia" w:ascii="仿宋_GB2312" w:hAnsi="宋体" w:eastAsia="仿宋_GB2312" w:cs="宋体"/>
          <w:kern w:val="0"/>
          <w:sz w:val="32"/>
          <w:szCs w:val="32"/>
        </w:rPr>
        <w:t>；</w:t>
      </w:r>
    </w:p>
    <w:p>
      <w:pPr>
        <w:pStyle w:val="7"/>
        <w:spacing w:line="560" w:lineRule="exact"/>
        <w:ind w:firstLine="64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11.课程思政化建设方案研究；</w:t>
      </w:r>
    </w:p>
    <w:p>
      <w:pPr>
        <w:pStyle w:val="7"/>
        <w:spacing w:line="560" w:lineRule="exact"/>
        <w:ind w:firstLine="640"/>
        <w:rPr>
          <w:rFonts w:ascii="仿宋_GB2312" w:hAnsi="宋体" w:eastAsia="仿宋_GB2312" w:cs="宋体"/>
          <w:kern w:val="0"/>
          <w:sz w:val="32"/>
          <w:szCs w:val="32"/>
        </w:rPr>
      </w:pPr>
      <w:r>
        <w:rPr>
          <w:rFonts w:ascii="仿宋_GB2312" w:hAnsi="宋体" w:eastAsia="仿宋_GB2312" w:cs="宋体"/>
          <w:kern w:val="0"/>
          <w:sz w:val="32"/>
          <w:szCs w:val="32"/>
        </w:rPr>
        <w:t>12.</w:t>
      </w:r>
      <w:r>
        <w:rPr>
          <w:rFonts w:hint="eastAsia" w:ascii="仿宋_GB2312" w:hAnsi="宋体" w:eastAsia="仿宋_GB2312" w:cs="宋体"/>
          <w:kern w:val="0"/>
          <w:sz w:val="32"/>
          <w:szCs w:val="32"/>
        </w:rPr>
        <w:t>质量监控与评价体系构建研究；</w:t>
      </w:r>
    </w:p>
    <w:p>
      <w:pPr>
        <w:pStyle w:val="7"/>
        <w:spacing w:line="56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13.启发式、PBL、翻转课堂、微课等教学方法应用研究；</w:t>
      </w:r>
    </w:p>
    <w:p>
      <w:pPr>
        <w:pStyle w:val="7"/>
        <w:spacing w:line="56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14.考试与评价体系改革研究；</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15.教育教学标准化建设研究；</w:t>
      </w:r>
    </w:p>
    <w:p>
      <w:pPr>
        <w:ind w:firstLine="640" w:firstLineChars="200"/>
      </w:pPr>
      <w:r>
        <w:rPr>
          <w:rFonts w:ascii="仿宋_GB2312" w:hAnsi="宋体" w:eastAsia="仿宋_GB2312" w:cs="宋体"/>
          <w:kern w:val="0"/>
          <w:sz w:val="32"/>
          <w:szCs w:val="32"/>
        </w:rPr>
        <w:t>16.</w:t>
      </w:r>
      <w:r>
        <w:rPr>
          <w:rFonts w:hint="eastAsia" w:ascii="仿宋_GB2312" w:hAnsi="宋体" w:eastAsia="仿宋_GB2312" w:cs="宋体"/>
          <w:kern w:val="0"/>
          <w:sz w:val="32"/>
          <w:szCs w:val="32"/>
        </w:rPr>
        <w:t>自</w:t>
      </w:r>
      <w:r>
        <w:rPr>
          <w:rFonts w:ascii="仿宋_GB2312" w:hAnsi="宋体" w:eastAsia="仿宋_GB2312" w:cs="宋体"/>
          <w:kern w:val="0"/>
          <w:sz w:val="32"/>
          <w:szCs w:val="32"/>
        </w:rPr>
        <w:t>拟。</w:t>
      </w:r>
      <w:r>
        <w:rPr>
          <w:rFonts w:hint="eastAsia" w:ascii="仿宋_GB2312" w:hAnsi="宋体" w:eastAsia="仿宋_GB2312" w:cs="宋体"/>
          <w:kern w:val="0"/>
          <w:sz w:val="32"/>
          <w:szCs w:val="32"/>
        </w:rPr>
        <w:t>根据教育</w:t>
      </w:r>
      <w:r>
        <w:rPr>
          <w:rFonts w:ascii="仿宋_GB2312" w:hAnsi="宋体" w:eastAsia="仿宋_GB2312" w:cs="宋体"/>
          <w:kern w:val="0"/>
          <w:sz w:val="32"/>
          <w:szCs w:val="32"/>
        </w:rPr>
        <w:t>各环节所涉及问题自</w:t>
      </w:r>
      <w:r>
        <w:rPr>
          <w:rFonts w:hint="eastAsia" w:ascii="仿宋_GB2312" w:hAnsi="宋体" w:eastAsia="仿宋_GB2312" w:cs="宋体"/>
          <w:kern w:val="0"/>
          <w:sz w:val="32"/>
          <w:szCs w:val="32"/>
        </w:rPr>
        <w:t>拟申报</w:t>
      </w:r>
      <w:r>
        <w:rPr>
          <w:rFonts w:ascii="仿宋_GB2312" w:hAnsi="宋体" w:eastAsia="仿宋_GB2312" w:cs="宋体"/>
          <w:kern w:val="0"/>
          <w:sz w:val="32"/>
          <w:szCs w:val="32"/>
        </w:rPr>
        <w:t>，如</w:t>
      </w:r>
      <w:r>
        <w:rPr>
          <w:rFonts w:hint="eastAsia" w:ascii="仿宋_GB2312" w:hAnsi="宋体" w:eastAsia="仿宋_GB2312" w:cs="宋体"/>
          <w:kern w:val="0"/>
          <w:sz w:val="32"/>
          <w:szCs w:val="32"/>
        </w:rPr>
        <w:t>教学方法、教学内容、课程体系建设、教育评价方式、实践教学、</w:t>
      </w:r>
      <w:r>
        <w:rPr>
          <w:rFonts w:ascii="仿宋_GB2312" w:hAnsi="宋体" w:eastAsia="仿宋_GB2312" w:cs="宋体"/>
          <w:kern w:val="0"/>
          <w:sz w:val="32"/>
          <w:szCs w:val="32"/>
        </w:rPr>
        <w:t>人文素质教育、学生</w:t>
      </w:r>
      <w:r>
        <w:rPr>
          <w:rFonts w:hint="eastAsia" w:ascii="仿宋_GB2312" w:hAnsi="宋体" w:eastAsia="仿宋_GB2312" w:cs="宋体"/>
          <w:kern w:val="0"/>
          <w:sz w:val="32"/>
          <w:szCs w:val="32"/>
        </w:rPr>
        <w:t>自主</w:t>
      </w:r>
      <w:r>
        <w:rPr>
          <w:rFonts w:ascii="仿宋_GB2312" w:hAnsi="宋体" w:eastAsia="仿宋_GB2312" w:cs="宋体"/>
          <w:kern w:val="0"/>
          <w:sz w:val="32"/>
          <w:szCs w:val="32"/>
        </w:rPr>
        <w:t>学习发展、双语教学等。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Courier New"/>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altName w:val="楷体_GB2312"/>
    <w:panose1 w:val="02010600040101010101"/>
    <w:charset w:val="86"/>
    <w:family w:val="auto"/>
    <w:pitch w:val="default"/>
    <w:sig w:usb0="00000000" w:usb1="00000000" w:usb2="00000010" w:usb3="00000000" w:csb0="0004009F" w:csb1="00000000"/>
  </w:font>
  <w:font w:name="Courier New">
    <w:panose1 w:val="02070309020205020404"/>
    <w:charset w:val="00"/>
    <w:family w:val="auto"/>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768"/>
    <w:rsid w:val="00500532"/>
    <w:rsid w:val="005F3D63"/>
    <w:rsid w:val="00655768"/>
    <w:rsid w:val="006955F9"/>
    <w:rsid w:val="00782DD0"/>
    <w:rsid w:val="007D5F00"/>
    <w:rsid w:val="00877FD7"/>
    <w:rsid w:val="008C2942"/>
    <w:rsid w:val="009B4D1B"/>
    <w:rsid w:val="00A61237"/>
    <w:rsid w:val="00A85C84"/>
    <w:rsid w:val="00B11016"/>
    <w:rsid w:val="00C76362"/>
    <w:rsid w:val="00CB4F92"/>
    <w:rsid w:val="00CB725D"/>
    <w:rsid w:val="00D4625D"/>
    <w:rsid w:val="00D553D4"/>
    <w:rsid w:val="00DB0393"/>
    <w:rsid w:val="00E17020"/>
    <w:rsid w:val="00E31C87"/>
    <w:rsid w:val="00E70C95"/>
    <w:rsid w:val="00EC53BA"/>
    <w:rsid w:val="0BE004F6"/>
    <w:rsid w:val="30D90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rPr>
      <w:rFonts w:ascii="Calibri" w:hAnsi="Calibri"/>
      <w:szCs w:val="22"/>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93</Words>
  <Characters>535</Characters>
  <Lines>4</Lines>
  <Paragraphs>1</Paragraphs>
  <TotalTime>13</TotalTime>
  <ScaleCrop>false</ScaleCrop>
  <LinksUpToDate>false</LinksUpToDate>
  <CharactersWithSpaces>627</CharactersWithSpaces>
  <Application>WPS Office_11.1.0.8648_F1E327BC-269C-435d-A152-05C5408002CA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2018-04-25T13:35:00Z</dcterms:created>
  <dc:creator>ZHANG CHONGXU</dc:creator>
  <cp:lastModifiedBy>天山雪莲</cp:lastModifiedBy>
  <cp:lastPrinted>2019-05-11T01:37:00Z</cp:lastPrinted>
  <dcterms:modified xsi:type="dcterms:W3CDTF">2019-05-27T04:39:08Z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ies>
</file>